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0"/>
        <w:tblBorders>
          <w:top w:sz="4" w:val="nil"/>
          <w:left w:sz="4" w:val="nil"/>
          <w:bottom w:sz="4" w:val="nil"/>
          <w:right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11"/>
      </w:tblGrid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r>
              <w:t>Перечень  юр лиц оказывающих услуги по организации питания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r>
              <w:t>Полное наименование: ОБЩЕСТВО С ОГРАНИЧЕННОЙ ОТВЕТСТВЕННОСТЬЮ "КОМБИНАТ ШКОЛЬНОГО ПИТАНИЯ"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r>
              <w:t xml:space="preserve">Сокращённое название ООО "КШП" 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r>
              <w:t>Генеральный директор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r>
              <w:t>Кайдашова Лариса Борисовна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r>
              <w:t xml:space="preserve">Юридический адрес 462412, Оренбургская область, г. Орск, ул. Рудная, д. 57, 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r>
              <w:t>Фактический адрес г. Орск, ул. Прживальского,1 «А»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r>
              <w:t>Электронная почта     kombinat56@mail.ru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r>
              <w:t>ИНН 5614047761  КПП 561401001   ОГРН 1095658003396  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r>
              <w:t xml:space="preserve">Банк Приволжский филиал ПФО РОСБАНК г. Нижний Новгород </w:t>
            </w:r>
          </w:p>
        </w:tc>
      </w:tr>
      <w:tr>
        <w:tc>
          <w:tcPr>
            <w:tcW w:type="dxa" w:w="65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r>
              <w:t>р/с 40702810525150000002    к/с 30101810400000000747     БИК042202747</w:t>
            </w:r>
          </w:p>
        </w:tc>
      </w:tr>
    </w:tbl>
    <w:p w14:paraId="0C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2023-01-26T13:15:42Z</dcterms:modified>
</cp:coreProperties>
</file>